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E29" w:rsidRDefault="00941E29" w:rsidP="00941E29">
      <w:pPr>
        <w:rPr>
          <w:rFonts w:ascii="Arial" w:hAnsi="Arial" w:cs="Arial"/>
        </w:rPr>
      </w:pPr>
      <w:bookmarkStart w:id="0" w:name="_GoBack"/>
      <w:bookmarkEnd w:id="0"/>
      <w:r>
        <w:rPr>
          <w:rFonts w:ascii="Arial" w:hAnsi="Arial" w:cs="Arial"/>
          <w:b/>
        </w:rPr>
        <w:br/>
      </w:r>
      <w:r w:rsidR="004F44A3" w:rsidRPr="004F44A3">
        <w:rPr>
          <w:rFonts w:ascii="Arial" w:hAnsi="Arial" w:cs="Arial"/>
        </w:rPr>
        <w:t xml:space="preserve">Betaalt u momenteel een te hoge commissie voor het ontvangen van </w:t>
      </w:r>
      <w:r w:rsidR="004F44A3">
        <w:rPr>
          <w:rFonts w:ascii="Arial" w:hAnsi="Arial" w:cs="Arial"/>
        </w:rPr>
        <w:t>kredietkaart</w:t>
      </w:r>
      <w:r w:rsidR="004F44A3" w:rsidRPr="004F44A3">
        <w:rPr>
          <w:rFonts w:ascii="Arial" w:hAnsi="Arial" w:cs="Arial"/>
        </w:rPr>
        <w:t>betalingen?</w:t>
      </w:r>
      <w:r w:rsidR="004F44A3">
        <w:rPr>
          <w:rFonts w:ascii="Arial" w:hAnsi="Arial" w:cs="Arial"/>
        </w:rPr>
        <w:t xml:space="preserve"> </w:t>
      </w:r>
      <w:r>
        <w:rPr>
          <w:rFonts w:ascii="Arial" w:hAnsi="Arial" w:cs="Arial"/>
        </w:rPr>
        <w:t xml:space="preserve">Europabank </w:t>
      </w:r>
      <w:r w:rsidR="004F44A3">
        <w:rPr>
          <w:rFonts w:ascii="Arial" w:hAnsi="Arial" w:cs="Arial"/>
        </w:rPr>
        <w:t xml:space="preserve">biedt </w:t>
      </w:r>
      <w:r>
        <w:rPr>
          <w:rFonts w:ascii="Arial" w:hAnsi="Arial" w:cs="Arial"/>
        </w:rPr>
        <w:t xml:space="preserve">alle </w:t>
      </w:r>
      <w:r w:rsidR="002635E1">
        <w:rPr>
          <w:rFonts w:ascii="Arial" w:hAnsi="Arial" w:cs="Arial"/>
        </w:rPr>
        <w:t xml:space="preserve">Mode Unie </w:t>
      </w:r>
      <w:r>
        <w:rPr>
          <w:rFonts w:ascii="Arial" w:hAnsi="Arial" w:cs="Arial"/>
        </w:rPr>
        <w:t>leden zeer scherpe tarieven</w:t>
      </w:r>
      <w:r w:rsidR="004F44A3">
        <w:rPr>
          <w:rFonts w:ascii="Arial" w:hAnsi="Arial" w:cs="Arial"/>
        </w:rPr>
        <w:t xml:space="preserve"> voor de verwerking van elektronisch betaalverkeer</w:t>
      </w:r>
      <w:r w:rsidR="0013390A">
        <w:rPr>
          <w:rFonts w:ascii="Arial" w:hAnsi="Arial" w:cs="Arial"/>
        </w:rPr>
        <w:t xml:space="preserve"> </w:t>
      </w:r>
      <w:r w:rsidR="004F44A3">
        <w:rPr>
          <w:rFonts w:ascii="Arial" w:hAnsi="Arial" w:cs="Arial"/>
        </w:rPr>
        <w:t xml:space="preserve">: </w:t>
      </w:r>
      <w:r>
        <w:rPr>
          <w:rFonts w:ascii="Arial" w:hAnsi="Arial" w:cs="Arial"/>
        </w:rPr>
        <w:t xml:space="preserve"> </w:t>
      </w:r>
    </w:p>
    <w:p w:rsidR="00941E29" w:rsidRDefault="00941E29" w:rsidP="00941E29">
      <w:pPr>
        <w:pStyle w:val="Lijstalinea"/>
        <w:numPr>
          <w:ilvl w:val="0"/>
          <w:numId w:val="3"/>
        </w:numPr>
        <w:rPr>
          <w:rFonts w:ascii="Arial" w:hAnsi="Arial" w:cs="Arial"/>
        </w:rPr>
      </w:pPr>
      <w:r w:rsidRPr="00941E29">
        <w:rPr>
          <w:rFonts w:ascii="Arial" w:hAnsi="Arial" w:cs="Arial"/>
        </w:rPr>
        <w:t xml:space="preserve">Voor de verwerking van </w:t>
      </w:r>
      <w:r w:rsidRPr="004F44A3">
        <w:rPr>
          <w:rFonts w:ascii="Arial" w:hAnsi="Arial" w:cs="Arial"/>
          <w:b/>
        </w:rPr>
        <w:t>kredietkaarten</w:t>
      </w:r>
      <w:r w:rsidRPr="00941E29">
        <w:rPr>
          <w:rFonts w:ascii="Arial" w:hAnsi="Arial" w:cs="Arial"/>
        </w:rPr>
        <w:t xml:space="preserve"> (Visa en Mastercard) of </w:t>
      </w:r>
      <w:r w:rsidRPr="004F44A3">
        <w:rPr>
          <w:rFonts w:ascii="Arial" w:hAnsi="Arial" w:cs="Arial"/>
          <w:b/>
        </w:rPr>
        <w:t>internationale</w:t>
      </w:r>
      <w:r w:rsidRPr="00941E29">
        <w:rPr>
          <w:rFonts w:ascii="Arial" w:hAnsi="Arial" w:cs="Arial"/>
        </w:rPr>
        <w:t xml:space="preserve"> </w:t>
      </w:r>
      <w:proofErr w:type="spellStart"/>
      <w:r w:rsidRPr="004F44A3">
        <w:rPr>
          <w:rFonts w:ascii="Arial" w:hAnsi="Arial" w:cs="Arial"/>
          <w:b/>
        </w:rPr>
        <w:t>debetkaarten</w:t>
      </w:r>
      <w:proofErr w:type="spellEnd"/>
      <w:r w:rsidRPr="00941E29">
        <w:rPr>
          <w:rFonts w:ascii="Arial" w:hAnsi="Arial" w:cs="Arial"/>
        </w:rPr>
        <w:t xml:space="preserve"> (V-Pay en Maestro) b</w:t>
      </w:r>
      <w:r w:rsidR="0013390A">
        <w:rPr>
          <w:rFonts w:ascii="Arial" w:hAnsi="Arial" w:cs="Arial"/>
        </w:rPr>
        <w:t xml:space="preserve">iedt </w:t>
      </w:r>
      <w:proofErr w:type="spellStart"/>
      <w:r w:rsidR="0013390A">
        <w:rPr>
          <w:rFonts w:ascii="Arial" w:hAnsi="Arial" w:cs="Arial"/>
        </w:rPr>
        <w:t>Eurpabank</w:t>
      </w:r>
      <w:proofErr w:type="spellEnd"/>
      <w:r w:rsidR="0013390A">
        <w:rPr>
          <w:rFonts w:ascii="Arial" w:hAnsi="Arial" w:cs="Arial"/>
        </w:rPr>
        <w:t xml:space="preserve"> </w:t>
      </w:r>
      <w:r w:rsidRPr="00941E29">
        <w:rPr>
          <w:rFonts w:ascii="Arial" w:hAnsi="Arial" w:cs="Arial"/>
        </w:rPr>
        <w:t>u</w:t>
      </w:r>
      <w:r w:rsidR="0013390A">
        <w:rPr>
          <w:rFonts w:ascii="Arial" w:hAnsi="Arial" w:cs="Arial"/>
        </w:rPr>
        <w:t xml:space="preserve"> volgende </w:t>
      </w:r>
      <w:r w:rsidRPr="00941E29">
        <w:rPr>
          <w:rFonts w:ascii="Arial" w:hAnsi="Arial" w:cs="Arial"/>
        </w:rPr>
        <w:t>tarie</w:t>
      </w:r>
      <w:r w:rsidR="0013390A">
        <w:rPr>
          <w:rFonts w:ascii="Arial" w:hAnsi="Arial" w:cs="Arial"/>
        </w:rPr>
        <w:t>ven,</w:t>
      </w:r>
      <w:r w:rsidRPr="00941E29">
        <w:rPr>
          <w:rFonts w:ascii="Arial" w:hAnsi="Arial" w:cs="Arial"/>
        </w:rPr>
        <w:t xml:space="preserve"> afhankelijk van de verwerkte volumes:</w:t>
      </w:r>
    </w:p>
    <w:p w:rsidR="002635E1" w:rsidRPr="002635E1" w:rsidRDefault="002635E1" w:rsidP="0013390A">
      <w:pPr>
        <w:pStyle w:val="Lijstalinea"/>
        <w:autoSpaceDE w:val="0"/>
        <w:autoSpaceDN w:val="0"/>
        <w:adjustRightInd w:val="0"/>
        <w:rPr>
          <w:rFonts w:eastAsia="Calibri" w:cs="Arial"/>
          <w:color w:val="000000"/>
          <w:sz w:val="24"/>
          <w:szCs w:val="24"/>
        </w:rPr>
      </w:pPr>
    </w:p>
    <w:tbl>
      <w:tblPr>
        <w:tblW w:w="9330" w:type="dxa"/>
        <w:tblInd w:w="701" w:type="dxa"/>
        <w:tblLayout w:type="fixed"/>
        <w:tblLook w:val="00A0" w:firstRow="1" w:lastRow="0" w:firstColumn="1" w:lastColumn="0" w:noHBand="0" w:noVBand="0"/>
      </w:tblPr>
      <w:tblGrid>
        <w:gridCol w:w="1959"/>
        <w:gridCol w:w="1559"/>
        <w:gridCol w:w="2835"/>
        <w:gridCol w:w="2977"/>
      </w:tblGrid>
      <w:tr w:rsidR="002635E1" w:rsidRPr="00446EF4" w:rsidTr="007A7478">
        <w:tc>
          <w:tcPr>
            <w:tcW w:w="1959" w:type="dxa"/>
            <w:tcBorders>
              <w:top w:val="single" w:sz="6" w:space="0" w:color="000000"/>
              <w:left w:val="single" w:sz="6" w:space="0" w:color="000000"/>
              <w:bottom w:val="single" w:sz="6" w:space="0" w:color="000000"/>
              <w:right w:val="single" w:sz="12" w:space="0" w:color="000000"/>
            </w:tcBorders>
          </w:tcPr>
          <w:p w:rsidR="002635E1" w:rsidRPr="002635E1" w:rsidRDefault="002635E1" w:rsidP="003C44F4">
            <w:pPr>
              <w:tabs>
                <w:tab w:val="left" w:pos="1503"/>
                <w:tab w:val="left" w:pos="1787"/>
              </w:tabs>
              <w:autoSpaceDE w:val="0"/>
              <w:autoSpaceDN w:val="0"/>
              <w:adjustRightInd w:val="0"/>
              <w:rPr>
                <w:rFonts w:ascii="Arial" w:eastAsia="Calibri" w:hAnsi="Arial" w:cs="Arial"/>
                <w:color w:val="000000"/>
                <w:sz w:val="20"/>
                <w:szCs w:val="20"/>
              </w:rPr>
            </w:pPr>
            <w:r w:rsidRPr="002635E1">
              <w:rPr>
                <w:rFonts w:ascii="Arial" w:eastAsia="Calibri" w:hAnsi="Arial" w:cs="Arial"/>
                <w:color w:val="000000"/>
                <w:sz w:val="20"/>
                <w:szCs w:val="20"/>
              </w:rPr>
              <w:t>Omzet Visa//Mastercard op jaarbasis</w:t>
            </w:r>
          </w:p>
        </w:tc>
        <w:tc>
          <w:tcPr>
            <w:tcW w:w="1559" w:type="dxa"/>
            <w:tcBorders>
              <w:top w:val="single" w:sz="12" w:space="0" w:color="000000"/>
              <w:left w:val="single" w:sz="12" w:space="0" w:color="000000"/>
              <w:bottom w:val="single" w:sz="6" w:space="0" w:color="000000"/>
              <w:right w:val="single" w:sz="12" w:space="0" w:color="000000"/>
            </w:tcBorders>
          </w:tcPr>
          <w:p w:rsidR="002635E1" w:rsidRPr="0013390A" w:rsidRDefault="002635E1" w:rsidP="003C44F4">
            <w:pPr>
              <w:tabs>
                <w:tab w:val="left" w:pos="1503"/>
                <w:tab w:val="left" w:pos="1787"/>
              </w:tabs>
              <w:autoSpaceDE w:val="0"/>
              <w:autoSpaceDN w:val="0"/>
              <w:adjustRightInd w:val="0"/>
              <w:rPr>
                <w:rFonts w:ascii="Arial" w:eastAsia="Calibri" w:hAnsi="Arial" w:cs="Arial"/>
                <w:bCs/>
                <w:color w:val="000000"/>
                <w:sz w:val="20"/>
                <w:szCs w:val="20"/>
              </w:rPr>
            </w:pPr>
            <w:r w:rsidRPr="0013390A">
              <w:rPr>
                <w:rFonts w:ascii="Arial" w:eastAsia="Calibri" w:hAnsi="Arial" w:cs="Arial"/>
                <w:bCs/>
                <w:color w:val="000000"/>
                <w:sz w:val="20"/>
                <w:szCs w:val="20"/>
              </w:rPr>
              <w:t>Tarief zonder toeslagen</w:t>
            </w:r>
          </w:p>
        </w:tc>
        <w:tc>
          <w:tcPr>
            <w:tcW w:w="2835" w:type="dxa"/>
            <w:tcBorders>
              <w:top w:val="single" w:sz="6" w:space="0" w:color="000000"/>
              <w:left w:val="single" w:sz="12" w:space="0" w:color="000000"/>
              <w:bottom w:val="single" w:sz="6" w:space="0" w:color="000000"/>
              <w:right w:val="single" w:sz="6" w:space="0" w:color="000000"/>
            </w:tcBorders>
          </w:tcPr>
          <w:p w:rsidR="002635E1" w:rsidRPr="002635E1" w:rsidRDefault="002635E1" w:rsidP="002635E1">
            <w:pPr>
              <w:tabs>
                <w:tab w:val="left" w:pos="1503"/>
                <w:tab w:val="left" w:pos="1787"/>
              </w:tabs>
              <w:autoSpaceDE w:val="0"/>
              <w:autoSpaceDN w:val="0"/>
              <w:adjustRightInd w:val="0"/>
              <w:jc w:val="center"/>
              <w:rPr>
                <w:rFonts w:ascii="Arial" w:eastAsia="Calibri" w:hAnsi="Arial" w:cs="Arial"/>
                <w:color w:val="000000"/>
                <w:sz w:val="20"/>
                <w:szCs w:val="20"/>
              </w:rPr>
            </w:pPr>
            <w:r w:rsidRPr="002635E1">
              <w:rPr>
                <w:rFonts w:ascii="Arial" w:eastAsia="Calibri" w:hAnsi="Arial" w:cs="Arial"/>
                <w:color w:val="000000"/>
                <w:sz w:val="20"/>
                <w:szCs w:val="20"/>
              </w:rPr>
              <w:t>Tarief met toeslag voor non-</w:t>
            </w:r>
            <w:proofErr w:type="spellStart"/>
            <w:r w:rsidRPr="002635E1">
              <w:rPr>
                <w:rFonts w:ascii="Arial" w:eastAsia="Calibri" w:hAnsi="Arial" w:cs="Arial"/>
                <w:color w:val="000000"/>
                <w:sz w:val="20"/>
                <w:szCs w:val="20"/>
              </w:rPr>
              <w:t>regulated</w:t>
            </w:r>
            <w:proofErr w:type="spellEnd"/>
            <w:r w:rsidRPr="002635E1">
              <w:rPr>
                <w:rFonts w:ascii="Arial" w:eastAsia="Calibri" w:hAnsi="Arial" w:cs="Arial"/>
                <w:color w:val="000000"/>
                <w:sz w:val="20"/>
                <w:szCs w:val="20"/>
              </w:rPr>
              <w:t xml:space="preserve"> transacties  (*)</w:t>
            </w:r>
          </w:p>
        </w:tc>
        <w:tc>
          <w:tcPr>
            <w:tcW w:w="2977" w:type="dxa"/>
            <w:tcBorders>
              <w:top w:val="single" w:sz="6" w:space="0" w:color="000000"/>
              <w:left w:val="single" w:sz="6" w:space="0" w:color="000000"/>
              <w:bottom w:val="single" w:sz="6" w:space="0" w:color="000000"/>
              <w:right w:val="single" w:sz="6" w:space="0" w:color="000000"/>
            </w:tcBorders>
          </w:tcPr>
          <w:p w:rsidR="002635E1" w:rsidRPr="002635E1" w:rsidRDefault="002635E1" w:rsidP="0013390A">
            <w:pPr>
              <w:tabs>
                <w:tab w:val="left" w:pos="1503"/>
                <w:tab w:val="left" w:pos="1787"/>
              </w:tabs>
              <w:autoSpaceDE w:val="0"/>
              <w:autoSpaceDN w:val="0"/>
              <w:adjustRightInd w:val="0"/>
              <w:rPr>
                <w:rFonts w:ascii="Arial" w:eastAsia="Calibri" w:hAnsi="Arial" w:cs="Arial"/>
                <w:color w:val="000000"/>
                <w:sz w:val="20"/>
                <w:szCs w:val="20"/>
              </w:rPr>
            </w:pPr>
            <w:r w:rsidRPr="002635E1">
              <w:rPr>
                <w:rFonts w:ascii="Arial" w:eastAsia="Calibri" w:hAnsi="Arial" w:cs="Arial"/>
                <w:color w:val="000000"/>
                <w:sz w:val="20"/>
                <w:szCs w:val="20"/>
              </w:rPr>
              <w:t>Bijkomende toeslag voo</w:t>
            </w:r>
            <w:r>
              <w:rPr>
                <w:rFonts w:ascii="Arial" w:eastAsia="Calibri" w:hAnsi="Arial" w:cs="Arial"/>
                <w:color w:val="000000"/>
                <w:sz w:val="20"/>
                <w:szCs w:val="20"/>
              </w:rPr>
              <w:t>r</w:t>
            </w:r>
            <w:r w:rsidRPr="002635E1">
              <w:rPr>
                <w:rFonts w:ascii="Arial" w:eastAsia="Calibri" w:hAnsi="Arial" w:cs="Arial"/>
                <w:color w:val="000000"/>
                <w:sz w:val="20"/>
                <w:szCs w:val="20"/>
              </w:rPr>
              <w:t xml:space="preserve"> E-commerce (**)</w:t>
            </w:r>
          </w:p>
        </w:tc>
      </w:tr>
      <w:tr w:rsidR="002635E1" w:rsidRPr="00446EF4" w:rsidTr="007A7478">
        <w:tc>
          <w:tcPr>
            <w:tcW w:w="1959" w:type="dxa"/>
            <w:tcBorders>
              <w:top w:val="single" w:sz="6" w:space="0" w:color="000000"/>
              <w:left w:val="single" w:sz="6" w:space="0" w:color="000000"/>
              <w:bottom w:val="single" w:sz="6" w:space="0" w:color="000000"/>
              <w:right w:val="single" w:sz="12" w:space="0" w:color="000000"/>
            </w:tcBorders>
          </w:tcPr>
          <w:p w:rsidR="002635E1" w:rsidRPr="002635E1" w:rsidRDefault="002635E1" w:rsidP="002635E1">
            <w:pPr>
              <w:tabs>
                <w:tab w:val="left" w:pos="1503"/>
                <w:tab w:val="left" w:pos="1787"/>
              </w:tabs>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0 – 124.999 €</w:t>
            </w:r>
          </w:p>
        </w:tc>
        <w:tc>
          <w:tcPr>
            <w:tcW w:w="1559" w:type="dxa"/>
            <w:tcBorders>
              <w:top w:val="single" w:sz="6" w:space="0" w:color="000000"/>
              <w:left w:val="single" w:sz="12" w:space="0" w:color="000000"/>
              <w:bottom w:val="single" w:sz="6" w:space="0" w:color="000000"/>
              <w:right w:val="single" w:sz="12" w:space="0" w:color="000000"/>
            </w:tcBorders>
          </w:tcPr>
          <w:p w:rsidR="002635E1" w:rsidRPr="0013390A" w:rsidRDefault="002635E1" w:rsidP="002635E1">
            <w:pPr>
              <w:tabs>
                <w:tab w:val="left" w:pos="1503"/>
                <w:tab w:val="left" w:pos="1787"/>
              </w:tabs>
              <w:autoSpaceDE w:val="0"/>
              <w:autoSpaceDN w:val="0"/>
              <w:adjustRightInd w:val="0"/>
              <w:jc w:val="center"/>
              <w:rPr>
                <w:rFonts w:ascii="Arial" w:eastAsia="Calibri" w:hAnsi="Arial" w:cs="Arial"/>
                <w:bCs/>
                <w:color w:val="000000"/>
                <w:sz w:val="20"/>
                <w:szCs w:val="20"/>
              </w:rPr>
            </w:pPr>
            <w:r w:rsidRPr="0013390A">
              <w:rPr>
                <w:rFonts w:ascii="Arial" w:eastAsia="Calibri" w:hAnsi="Arial" w:cs="Arial"/>
                <w:bCs/>
                <w:color w:val="000000"/>
                <w:sz w:val="20"/>
                <w:szCs w:val="20"/>
              </w:rPr>
              <w:t>1,10 %</w:t>
            </w:r>
          </w:p>
        </w:tc>
        <w:tc>
          <w:tcPr>
            <w:tcW w:w="2835" w:type="dxa"/>
            <w:tcBorders>
              <w:top w:val="single" w:sz="6" w:space="0" w:color="000000"/>
              <w:left w:val="single" w:sz="12" w:space="0" w:color="000000"/>
              <w:bottom w:val="single" w:sz="6" w:space="0" w:color="000000"/>
              <w:right w:val="single" w:sz="6" w:space="0" w:color="000000"/>
            </w:tcBorders>
          </w:tcPr>
          <w:p w:rsidR="002635E1" w:rsidRPr="002635E1" w:rsidRDefault="002635E1" w:rsidP="003C44F4">
            <w:pPr>
              <w:tabs>
                <w:tab w:val="left" w:pos="1503"/>
                <w:tab w:val="left" w:pos="1787"/>
              </w:tabs>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 xml:space="preserve">niet van </w:t>
            </w:r>
            <w:proofErr w:type="spellStart"/>
            <w:r>
              <w:rPr>
                <w:rFonts w:ascii="Arial" w:eastAsia="Calibri" w:hAnsi="Arial" w:cs="Arial"/>
                <w:color w:val="000000"/>
                <w:sz w:val="20"/>
                <w:szCs w:val="20"/>
              </w:rPr>
              <w:t>toepasing</w:t>
            </w:r>
            <w:proofErr w:type="spellEnd"/>
          </w:p>
        </w:tc>
        <w:tc>
          <w:tcPr>
            <w:tcW w:w="2977" w:type="dxa"/>
            <w:tcBorders>
              <w:top w:val="single" w:sz="6" w:space="0" w:color="000000"/>
              <w:left w:val="single" w:sz="6" w:space="0" w:color="000000"/>
              <w:bottom w:val="single" w:sz="6" w:space="0" w:color="000000"/>
              <w:right w:val="single" w:sz="6" w:space="0" w:color="000000"/>
            </w:tcBorders>
          </w:tcPr>
          <w:p w:rsidR="002635E1" w:rsidRPr="002635E1" w:rsidRDefault="002635E1" w:rsidP="003C44F4">
            <w:pPr>
              <w:tabs>
                <w:tab w:val="left" w:pos="1503"/>
                <w:tab w:val="left" w:pos="1787"/>
              </w:tabs>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+ 0,5</w:t>
            </w:r>
            <w:r w:rsidRPr="002635E1">
              <w:rPr>
                <w:rFonts w:ascii="Arial" w:eastAsia="Calibri" w:hAnsi="Arial" w:cs="Arial"/>
                <w:color w:val="000000"/>
                <w:sz w:val="20"/>
                <w:szCs w:val="20"/>
              </w:rPr>
              <w:t>0 %</w:t>
            </w:r>
          </w:p>
        </w:tc>
      </w:tr>
      <w:tr w:rsidR="002635E1" w:rsidRPr="00446EF4" w:rsidTr="007A7478">
        <w:tc>
          <w:tcPr>
            <w:tcW w:w="1959" w:type="dxa"/>
            <w:tcBorders>
              <w:top w:val="single" w:sz="6" w:space="0" w:color="000000"/>
              <w:left w:val="single" w:sz="6" w:space="0" w:color="000000"/>
              <w:bottom w:val="single" w:sz="6" w:space="0" w:color="000000"/>
              <w:right w:val="single" w:sz="12" w:space="0" w:color="000000"/>
            </w:tcBorders>
          </w:tcPr>
          <w:p w:rsidR="002635E1" w:rsidRPr="002635E1" w:rsidRDefault="002635E1" w:rsidP="003C44F4">
            <w:pPr>
              <w:tabs>
                <w:tab w:val="left" w:pos="1503"/>
                <w:tab w:val="left" w:pos="1787"/>
              </w:tabs>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125.000 – 249.999 €</w:t>
            </w:r>
          </w:p>
        </w:tc>
        <w:tc>
          <w:tcPr>
            <w:tcW w:w="1559" w:type="dxa"/>
            <w:tcBorders>
              <w:top w:val="single" w:sz="6" w:space="0" w:color="000000"/>
              <w:left w:val="single" w:sz="12" w:space="0" w:color="000000"/>
              <w:bottom w:val="single" w:sz="6" w:space="0" w:color="000000"/>
              <w:right w:val="single" w:sz="12" w:space="0" w:color="000000"/>
            </w:tcBorders>
          </w:tcPr>
          <w:p w:rsidR="002635E1" w:rsidRPr="0013390A" w:rsidRDefault="002635E1" w:rsidP="002635E1">
            <w:pPr>
              <w:tabs>
                <w:tab w:val="left" w:pos="1503"/>
                <w:tab w:val="left" w:pos="1787"/>
              </w:tabs>
              <w:autoSpaceDE w:val="0"/>
              <w:autoSpaceDN w:val="0"/>
              <w:adjustRightInd w:val="0"/>
              <w:jc w:val="center"/>
              <w:rPr>
                <w:rFonts w:ascii="Arial" w:eastAsia="Calibri" w:hAnsi="Arial" w:cs="Arial"/>
                <w:bCs/>
                <w:color w:val="000000"/>
                <w:sz w:val="20"/>
                <w:szCs w:val="20"/>
              </w:rPr>
            </w:pPr>
            <w:r w:rsidRPr="0013390A">
              <w:rPr>
                <w:rFonts w:ascii="Arial" w:eastAsia="Calibri" w:hAnsi="Arial" w:cs="Arial"/>
                <w:bCs/>
                <w:color w:val="000000"/>
                <w:sz w:val="20"/>
                <w:szCs w:val="20"/>
              </w:rPr>
              <w:t>1,05 %</w:t>
            </w:r>
          </w:p>
        </w:tc>
        <w:tc>
          <w:tcPr>
            <w:tcW w:w="2835" w:type="dxa"/>
            <w:tcBorders>
              <w:top w:val="single" w:sz="6" w:space="0" w:color="000000"/>
              <w:left w:val="single" w:sz="12" w:space="0" w:color="000000"/>
              <w:bottom w:val="single" w:sz="6" w:space="0" w:color="000000"/>
              <w:right w:val="single" w:sz="6" w:space="0" w:color="000000"/>
            </w:tcBorders>
          </w:tcPr>
          <w:p w:rsidR="002635E1" w:rsidRPr="002635E1" w:rsidRDefault="002635E1" w:rsidP="002635E1">
            <w:pPr>
              <w:tabs>
                <w:tab w:val="left" w:pos="1503"/>
                <w:tab w:val="left" w:pos="1787"/>
              </w:tabs>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0,90 % basis + 0,50 %  non-</w:t>
            </w:r>
            <w:proofErr w:type="spellStart"/>
            <w:r>
              <w:rPr>
                <w:rFonts w:ascii="Arial" w:eastAsia="Calibri" w:hAnsi="Arial" w:cs="Arial"/>
                <w:color w:val="000000"/>
                <w:sz w:val="20"/>
                <w:szCs w:val="20"/>
              </w:rPr>
              <w:t>regulated</w:t>
            </w:r>
            <w:proofErr w:type="spellEnd"/>
            <w:r w:rsidRPr="002635E1">
              <w:rPr>
                <w:rFonts w:ascii="Arial" w:eastAsia="Calibri" w:hAnsi="Arial" w:cs="Arial"/>
                <w:color w:val="000000"/>
                <w:sz w:val="20"/>
                <w:szCs w:val="20"/>
              </w:rPr>
              <w:t> </w:t>
            </w:r>
            <w:r w:rsidRPr="002635E1">
              <w:rPr>
                <w:rFonts w:ascii="Arial" w:eastAsia="Calibri" w:hAnsi="Arial" w:cs="Arial"/>
                <w:color w:val="000000"/>
                <w:sz w:val="20"/>
                <w:szCs w:val="20"/>
              </w:rPr>
              <w:t> </w:t>
            </w:r>
            <w:r w:rsidRPr="002635E1">
              <w:rPr>
                <w:rFonts w:ascii="Arial" w:eastAsia="Calibri" w:hAnsi="Arial" w:cs="Arial"/>
                <w:color w:val="000000"/>
                <w:sz w:val="20"/>
                <w:szCs w:val="20"/>
              </w:rPr>
              <w:t xml:space="preserve"> </w:t>
            </w:r>
            <w:r w:rsidRPr="002635E1">
              <w:rPr>
                <w:rFonts w:ascii="Arial" w:eastAsia="Calibri" w:hAnsi="Arial" w:cs="Arial"/>
                <w:color w:val="000000"/>
                <w:sz w:val="20"/>
                <w:szCs w:val="20"/>
              </w:rPr>
              <w:t> </w:t>
            </w:r>
            <w:r w:rsidRPr="002635E1">
              <w:rPr>
                <w:rFonts w:ascii="Arial" w:eastAsia="Calibri" w:hAnsi="Arial" w:cs="Arial"/>
                <w:color w:val="000000"/>
                <w:sz w:val="20"/>
                <w:szCs w:val="20"/>
              </w:rPr>
              <w:t> </w:t>
            </w:r>
            <w:r w:rsidRPr="002635E1">
              <w:rPr>
                <w:rFonts w:ascii="Arial" w:eastAsia="Calibri" w:hAnsi="Arial" w:cs="Arial"/>
                <w:color w:val="000000"/>
                <w:sz w:val="20"/>
                <w:szCs w:val="20"/>
              </w:rPr>
              <w:t> </w:t>
            </w:r>
          </w:p>
        </w:tc>
        <w:tc>
          <w:tcPr>
            <w:tcW w:w="2977" w:type="dxa"/>
            <w:tcBorders>
              <w:top w:val="single" w:sz="6" w:space="0" w:color="000000"/>
              <w:left w:val="single" w:sz="6" w:space="0" w:color="000000"/>
              <w:bottom w:val="single" w:sz="6" w:space="0" w:color="000000"/>
              <w:right w:val="single" w:sz="6" w:space="0" w:color="000000"/>
            </w:tcBorders>
          </w:tcPr>
          <w:p w:rsidR="002635E1" w:rsidRPr="002635E1" w:rsidRDefault="002635E1" w:rsidP="002635E1">
            <w:pPr>
              <w:tabs>
                <w:tab w:val="left" w:pos="1503"/>
                <w:tab w:val="left" w:pos="1787"/>
              </w:tabs>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+ 0,45</w:t>
            </w:r>
            <w:r w:rsidRPr="002635E1">
              <w:rPr>
                <w:rFonts w:ascii="Arial" w:eastAsia="Calibri" w:hAnsi="Arial" w:cs="Arial"/>
                <w:color w:val="000000"/>
                <w:sz w:val="20"/>
                <w:szCs w:val="20"/>
              </w:rPr>
              <w:t xml:space="preserve"> %</w:t>
            </w:r>
          </w:p>
        </w:tc>
      </w:tr>
      <w:tr w:rsidR="002635E1" w:rsidRPr="00446EF4" w:rsidTr="007A7478">
        <w:tc>
          <w:tcPr>
            <w:tcW w:w="1959" w:type="dxa"/>
            <w:tcBorders>
              <w:top w:val="single" w:sz="6" w:space="0" w:color="000000"/>
              <w:left w:val="single" w:sz="6" w:space="0" w:color="000000"/>
              <w:bottom w:val="single" w:sz="4" w:space="0" w:color="auto"/>
              <w:right w:val="single" w:sz="12" w:space="0" w:color="000000"/>
            </w:tcBorders>
          </w:tcPr>
          <w:p w:rsidR="002635E1" w:rsidRPr="002635E1" w:rsidRDefault="002635E1" w:rsidP="003C44F4">
            <w:pPr>
              <w:tabs>
                <w:tab w:val="left" w:pos="1503"/>
                <w:tab w:val="left" w:pos="1787"/>
              </w:tabs>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250.000 – 400.000 €</w:t>
            </w:r>
          </w:p>
        </w:tc>
        <w:tc>
          <w:tcPr>
            <w:tcW w:w="1559" w:type="dxa"/>
            <w:tcBorders>
              <w:top w:val="single" w:sz="6" w:space="0" w:color="000000"/>
              <w:left w:val="single" w:sz="12" w:space="0" w:color="000000"/>
              <w:bottom w:val="single" w:sz="4" w:space="0" w:color="auto"/>
              <w:right w:val="single" w:sz="12" w:space="0" w:color="000000"/>
            </w:tcBorders>
          </w:tcPr>
          <w:p w:rsidR="002635E1" w:rsidRPr="0013390A" w:rsidRDefault="002635E1" w:rsidP="002635E1">
            <w:pPr>
              <w:tabs>
                <w:tab w:val="left" w:pos="1503"/>
                <w:tab w:val="left" w:pos="1787"/>
              </w:tabs>
              <w:autoSpaceDE w:val="0"/>
              <w:autoSpaceDN w:val="0"/>
              <w:adjustRightInd w:val="0"/>
              <w:jc w:val="center"/>
              <w:rPr>
                <w:rFonts w:ascii="Arial" w:eastAsia="Calibri" w:hAnsi="Arial" w:cs="Arial"/>
                <w:bCs/>
                <w:color w:val="000000"/>
                <w:sz w:val="20"/>
                <w:szCs w:val="20"/>
              </w:rPr>
            </w:pPr>
            <w:r w:rsidRPr="0013390A">
              <w:rPr>
                <w:rFonts w:ascii="Arial" w:eastAsia="Calibri" w:hAnsi="Arial" w:cs="Arial"/>
                <w:bCs/>
                <w:color w:val="000000"/>
                <w:sz w:val="20"/>
                <w:szCs w:val="20"/>
              </w:rPr>
              <w:t>1,00 %</w:t>
            </w:r>
          </w:p>
        </w:tc>
        <w:tc>
          <w:tcPr>
            <w:tcW w:w="2835" w:type="dxa"/>
            <w:tcBorders>
              <w:top w:val="single" w:sz="6" w:space="0" w:color="000000"/>
              <w:left w:val="single" w:sz="12" w:space="0" w:color="000000"/>
              <w:bottom w:val="single" w:sz="4" w:space="0" w:color="auto"/>
              <w:right w:val="single" w:sz="6" w:space="0" w:color="000000"/>
            </w:tcBorders>
          </w:tcPr>
          <w:p w:rsidR="002635E1" w:rsidRPr="002635E1" w:rsidRDefault="002635E1" w:rsidP="003C44F4">
            <w:pPr>
              <w:tabs>
                <w:tab w:val="left" w:pos="1503"/>
                <w:tab w:val="left" w:pos="1787"/>
              </w:tabs>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0,80</w:t>
            </w:r>
            <w:r w:rsidRPr="002635E1">
              <w:rPr>
                <w:rFonts w:ascii="Arial" w:eastAsia="Calibri" w:hAnsi="Arial" w:cs="Arial"/>
                <w:color w:val="000000"/>
                <w:sz w:val="20"/>
                <w:szCs w:val="20"/>
              </w:rPr>
              <w:t xml:space="preserve"> %</w:t>
            </w:r>
            <w:r>
              <w:rPr>
                <w:rFonts w:ascii="Arial" w:eastAsia="Calibri" w:hAnsi="Arial" w:cs="Arial"/>
                <w:color w:val="000000"/>
                <w:sz w:val="20"/>
                <w:szCs w:val="20"/>
              </w:rPr>
              <w:t xml:space="preserve"> basis + 0,50 % non-</w:t>
            </w:r>
            <w:proofErr w:type="spellStart"/>
            <w:r>
              <w:rPr>
                <w:rFonts w:ascii="Arial" w:eastAsia="Calibri" w:hAnsi="Arial" w:cs="Arial"/>
                <w:color w:val="000000"/>
                <w:sz w:val="20"/>
                <w:szCs w:val="20"/>
              </w:rPr>
              <w:t>regulated</w:t>
            </w:r>
            <w:proofErr w:type="spellEnd"/>
          </w:p>
        </w:tc>
        <w:tc>
          <w:tcPr>
            <w:tcW w:w="2977" w:type="dxa"/>
            <w:tcBorders>
              <w:top w:val="single" w:sz="6" w:space="0" w:color="000000"/>
              <w:left w:val="single" w:sz="6" w:space="0" w:color="000000"/>
              <w:bottom w:val="single" w:sz="4" w:space="0" w:color="auto"/>
              <w:right w:val="single" w:sz="6" w:space="0" w:color="000000"/>
            </w:tcBorders>
          </w:tcPr>
          <w:p w:rsidR="002635E1" w:rsidRPr="002635E1" w:rsidRDefault="002635E1" w:rsidP="003C44F4">
            <w:pPr>
              <w:tabs>
                <w:tab w:val="left" w:pos="1503"/>
                <w:tab w:val="left" w:pos="1787"/>
              </w:tabs>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+ 0,4</w:t>
            </w:r>
            <w:r w:rsidRPr="002635E1">
              <w:rPr>
                <w:rFonts w:ascii="Arial" w:eastAsia="Calibri" w:hAnsi="Arial" w:cs="Arial"/>
                <w:color w:val="000000"/>
                <w:sz w:val="20"/>
                <w:szCs w:val="20"/>
              </w:rPr>
              <w:t>0 %</w:t>
            </w:r>
          </w:p>
        </w:tc>
      </w:tr>
      <w:tr w:rsidR="002635E1" w:rsidRPr="00446EF4" w:rsidTr="007A7478">
        <w:tc>
          <w:tcPr>
            <w:tcW w:w="1959" w:type="dxa"/>
            <w:tcBorders>
              <w:top w:val="single" w:sz="4" w:space="0" w:color="auto"/>
              <w:left w:val="single" w:sz="4" w:space="0" w:color="auto"/>
              <w:bottom w:val="single" w:sz="4" w:space="0" w:color="auto"/>
              <w:right w:val="single" w:sz="12" w:space="0" w:color="000000"/>
            </w:tcBorders>
          </w:tcPr>
          <w:p w:rsidR="002635E1" w:rsidRPr="002635E1" w:rsidRDefault="002635E1" w:rsidP="002635E1">
            <w:pPr>
              <w:tabs>
                <w:tab w:val="left" w:pos="1503"/>
                <w:tab w:val="left" w:pos="1787"/>
              </w:tabs>
              <w:autoSpaceDE w:val="0"/>
              <w:autoSpaceDN w:val="0"/>
              <w:adjustRightInd w:val="0"/>
              <w:rPr>
                <w:rFonts w:ascii="Arial" w:eastAsia="Calibri" w:hAnsi="Arial" w:cs="Arial"/>
                <w:color w:val="000000"/>
                <w:sz w:val="20"/>
                <w:szCs w:val="20"/>
              </w:rPr>
            </w:pPr>
            <w:r w:rsidRPr="002635E1">
              <w:rPr>
                <w:rFonts w:ascii="Arial" w:eastAsia="Calibri" w:hAnsi="Arial" w:cs="Arial"/>
                <w:color w:val="000000"/>
                <w:sz w:val="20"/>
                <w:szCs w:val="20"/>
              </w:rPr>
              <w:t>&gt;</w:t>
            </w:r>
            <w:r>
              <w:rPr>
                <w:rFonts w:ascii="Arial" w:eastAsia="Calibri" w:hAnsi="Arial" w:cs="Arial"/>
                <w:color w:val="000000"/>
                <w:sz w:val="20"/>
                <w:szCs w:val="20"/>
              </w:rPr>
              <w:t xml:space="preserve"> </w:t>
            </w:r>
            <w:r w:rsidRPr="002635E1">
              <w:rPr>
                <w:rFonts w:ascii="Arial" w:eastAsia="Calibri" w:hAnsi="Arial" w:cs="Arial"/>
                <w:color w:val="000000"/>
                <w:sz w:val="20"/>
                <w:szCs w:val="20"/>
              </w:rPr>
              <w:t>400.000 €</w:t>
            </w:r>
          </w:p>
        </w:tc>
        <w:tc>
          <w:tcPr>
            <w:tcW w:w="1559" w:type="dxa"/>
            <w:tcBorders>
              <w:top w:val="single" w:sz="4" w:space="0" w:color="auto"/>
              <w:left w:val="single" w:sz="12" w:space="0" w:color="000000"/>
              <w:bottom w:val="single" w:sz="4" w:space="0" w:color="auto"/>
            </w:tcBorders>
          </w:tcPr>
          <w:p w:rsidR="002635E1" w:rsidRPr="0013390A" w:rsidRDefault="002635E1" w:rsidP="003C44F4">
            <w:pPr>
              <w:tabs>
                <w:tab w:val="left" w:pos="1503"/>
                <w:tab w:val="left" w:pos="1787"/>
              </w:tabs>
              <w:autoSpaceDE w:val="0"/>
              <w:autoSpaceDN w:val="0"/>
              <w:adjustRightInd w:val="0"/>
              <w:jc w:val="center"/>
              <w:rPr>
                <w:rFonts w:ascii="Arial" w:eastAsia="Calibri" w:hAnsi="Arial" w:cs="Arial"/>
                <w:bCs/>
                <w:color w:val="000000"/>
                <w:sz w:val="20"/>
                <w:szCs w:val="20"/>
              </w:rPr>
            </w:pPr>
            <w:r w:rsidRPr="0013390A">
              <w:rPr>
                <w:rFonts w:ascii="Arial" w:eastAsia="Calibri" w:hAnsi="Arial" w:cs="Arial"/>
                <w:bCs/>
                <w:color w:val="000000"/>
                <w:sz w:val="20"/>
                <w:szCs w:val="20"/>
              </w:rPr>
              <w:t xml:space="preserve"> </w:t>
            </w:r>
          </w:p>
        </w:tc>
        <w:tc>
          <w:tcPr>
            <w:tcW w:w="2835" w:type="dxa"/>
            <w:tcBorders>
              <w:top w:val="single" w:sz="4" w:space="0" w:color="auto"/>
              <w:bottom w:val="single" w:sz="4" w:space="0" w:color="auto"/>
            </w:tcBorders>
          </w:tcPr>
          <w:p w:rsidR="002635E1" w:rsidRPr="002635E1" w:rsidRDefault="0013390A" w:rsidP="003C44F4">
            <w:pPr>
              <w:tabs>
                <w:tab w:val="left" w:pos="1503"/>
                <w:tab w:val="left" w:pos="1787"/>
              </w:tabs>
              <w:autoSpaceDE w:val="0"/>
              <w:autoSpaceDN w:val="0"/>
              <w:adjustRightInd w:val="0"/>
              <w:jc w:val="center"/>
              <w:rPr>
                <w:rFonts w:ascii="Arial" w:eastAsia="Calibri" w:hAnsi="Arial" w:cs="Arial"/>
                <w:color w:val="000000"/>
                <w:sz w:val="20"/>
                <w:szCs w:val="20"/>
              </w:rPr>
            </w:pPr>
            <w:proofErr w:type="spellStart"/>
            <w:r>
              <w:rPr>
                <w:rFonts w:ascii="Arial" w:eastAsia="Calibri" w:hAnsi="Arial" w:cs="Arial"/>
                <w:color w:val="000000"/>
                <w:sz w:val="20"/>
                <w:szCs w:val="20"/>
              </w:rPr>
              <w:t>Indivudueel</w:t>
            </w:r>
            <w:proofErr w:type="spellEnd"/>
            <w:r>
              <w:rPr>
                <w:rFonts w:ascii="Arial" w:eastAsia="Calibri" w:hAnsi="Arial" w:cs="Arial"/>
                <w:color w:val="000000"/>
                <w:sz w:val="20"/>
                <w:szCs w:val="20"/>
              </w:rPr>
              <w:t xml:space="preserve"> te bepalen tarief</w:t>
            </w:r>
            <w:r w:rsidR="002635E1" w:rsidRPr="002635E1">
              <w:rPr>
                <w:rFonts w:ascii="Arial" w:eastAsia="Calibri" w:hAnsi="Arial" w:cs="Arial"/>
                <w:color w:val="000000"/>
                <w:sz w:val="20"/>
                <w:szCs w:val="20"/>
              </w:rPr>
              <w:t> </w:t>
            </w:r>
            <w:r w:rsidR="002635E1" w:rsidRPr="002635E1">
              <w:rPr>
                <w:rFonts w:ascii="Arial" w:eastAsia="Calibri" w:hAnsi="Arial" w:cs="Arial"/>
                <w:color w:val="000000"/>
                <w:sz w:val="20"/>
                <w:szCs w:val="20"/>
              </w:rPr>
              <w:t> </w:t>
            </w:r>
            <w:r w:rsidR="002635E1" w:rsidRPr="002635E1">
              <w:rPr>
                <w:rFonts w:ascii="Arial" w:eastAsia="Calibri" w:hAnsi="Arial" w:cs="Arial"/>
                <w:color w:val="000000"/>
                <w:sz w:val="20"/>
                <w:szCs w:val="20"/>
              </w:rPr>
              <w:t xml:space="preserve">  </w:t>
            </w:r>
            <w:r w:rsidR="002635E1" w:rsidRPr="002635E1">
              <w:rPr>
                <w:rFonts w:ascii="Arial" w:eastAsia="Calibri" w:hAnsi="Arial" w:cs="Arial"/>
                <w:color w:val="000000"/>
                <w:sz w:val="20"/>
                <w:szCs w:val="20"/>
              </w:rPr>
              <w:t> </w:t>
            </w:r>
            <w:r w:rsidR="002635E1" w:rsidRPr="002635E1">
              <w:rPr>
                <w:rFonts w:ascii="Arial" w:eastAsia="Calibri" w:hAnsi="Arial" w:cs="Arial"/>
                <w:color w:val="000000"/>
                <w:sz w:val="20"/>
                <w:szCs w:val="20"/>
              </w:rPr>
              <w:t> </w:t>
            </w:r>
            <w:r w:rsidR="002635E1" w:rsidRPr="002635E1">
              <w:rPr>
                <w:rFonts w:ascii="Arial" w:eastAsia="Calibri" w:hAnsi="Arial" w:cs="Arial"/>
                <w:color w:val="000000"/>
                <w:sz w:val="20"/>
                <w:szCs w:val="20"/>
              </w:rPr>
              <w:t> </w:t>
            </w:r>
          </w:p>
        </w:tc>
        <w:tc>
          <w:tcPr>
            <w:tcW w:w="2977" w:type="dxa"/>
            <w:tcBorders>
              <w:top w:val="single" w:sz="4" w:space="0" w:color="auto"/>
              <w:bottom w:val="single" w:sz="4" w:space="0" w:color="auto"/>
              <w:right w:val="single" w:sz="4" w:space="0" w:color="auto"/>
            </w:tcBorders>
          </w:tcPr>
          <w:p w:rsidR="002635E1" w:rsidRPr="002635E1" w:rsidRDefault="002635E1" w:rsidP="003C44F4">
            <w:pPr>
              <w:tabs>
                <w:tab w:val="left" w:pos="1503"/>
                <w:tab w:val="left" w:pos="1787"/>
              </w:tabs>
              <w:autoSpaceDE w:val="0"/>
              <w:autoSpaceDN w:val="0"/>
              <w:adjustRightInd w:val="0"/>
              <w:jc w:val="center"/>
              <w:rPr>
                <w:rFonts w:ascii="Arial" w:eastAsia="Calibri" w:hAnsi="Arial" w:cs="Arial"/>
                <w:color w:val="000000"/>
                <w:sz w:val="20"/>
                <w:szCs w:val="20"/>
              </w:rPr>
            </w:pPr>
          </w:p>
        </w:tc>
      </w:tr>
    </w:tbl>
    <w:p w:rsidR="00941E29" w:rsidRPr="0013390A" w:rsidRDefault="002635E1" w:rsidP="0013390A">
      <w:pPr>
        <w:pStyle w:val="Default"/>
        <w:ind w:left="720"/>
      </w:pPr>
      <w:r w:rsidRPr="0013390A">
        <w:rPr>
          <w:sz w:val="16"/>
          <w:szCs w:val="16"/>
          <w:lang w:eastAsia="nl-BE"/>
        </w:rPr>
        <w:br/>
      </w:r>
      <w:r w:rsidRPr="0013390A">
        <w:rPr>
          <w:sz w:val="20"/>
          <w:szCs w:val="20"/>
          <w:lang w:eastAsia="nl-BE"/>
        </w:rPr>
        <w:t xml:space="preserve">* </w:t>
      </w:r>
      <w:r w:rsidRPr="0013390A">
        <w:rPr>
          <w:sz w:val="20"/>
          <w:szCs w:val="20"/>
          <w:u w:val="single"/>
          <w:lang w:eastAsia="nl-BE"/>
        </w:rPr>
        <w:t>toeslag non-</w:t>
      </w:r>
      <w:proofErr w:type="spellStart"/>
      <w:r w:rsidRPr="0013390A">
        <w:rPr>
          <w:sz w:val="20"/>
          <w:szCs w:val="20"/>
          <w:u w:val="single"/>
          <w:lang w:eastAsia="nl-BE"/>
        </w:rPr>
        <w:t>regulated</w:t>
      </w:r>
      <w:proofErr w:type="spellEnd"/>
      <w:r w:rsidRPr="0013390A">
        <w:rPr>
          <w:sz w:val="20"/>
          <w:szCs w:val="20"/>
          <w:lang w:eastAsia="nl-BE"/>
        </w:rPr>
        <w:t xml:space="preserve"> enkel toegepast op transacties die buiten de E.U.-Verordening 2015/751 vallen. Dit zijn meer bepaald alle transacties uitgevoerd met kaarten die niet door een in de E.U. gevestigde financiële instelling zijn uitgegeven of met kaarten die niet als een consumentenkaart kunnen worden beschouwd (vb. business-kaarten, ...).</w:t>
      </w:r>
      <w:r w:rsidRPr="0013390A">
        <w:rPr>
          <w:rFonts w:ascii="Times New Roman" w:hAnsi="Times New Roman" w:cs="Times New Roman"/>
          <w:sz w:val="20"/>
          <w:szCs w:val="20"/>
          <w:lang w:eastAsia="nl-BE"/>
        </w:rPr>
        <w:t xml:space="preserve"> </w:t>
      </w:r>
      <w:r w:rsidRPr="0013390A">
        <w:rPr>
          <w:rFonts w:ascii="Times New Roman" w:hAnsi="Times New Roman" w:cs="Times New Roman"/>
          <w:sz w:val="20"/>
          <w:szCs w:val="20"/>
          <w:lang w:eastAsia="nl-BE"/>
        </w:rPr>
        <w:br/>
      </w:r>
      <w:r w:rsidRPr="0013390A">
        <w:rPr>
          <w:sz w:val="20"/>
          <w:szCs w:val="20"/>
          <w:lang w:eastAsia="nl-BE"/>
        </w:rPr>
        <w:br/>
        <w:t xml:space="preserve">** </w:t>
      </w:r>
      <w:r w:rsidR="0013390A">
        <w:rPr>
          <w:sz w:val="20"/>
          <w:szCs w:val="20"/>
          <w:u w:val="single"/>
          <w:lang w:eastAsia="nl-BE"/>
        </w:rPr>
        <w:t>e-commerce</w:t>
      </w:r>
      <w:r w:rsidRPr="0013390A">
        <w:rPr>
          <w:sz w:val="20"/>
          <w:szCs w:val="20"/>
          <w:lang w:eastAsia="nl-BE"/>
        </w:rPr>
        <w:t xml:space="preserve"> : </w:t>
      </w:r>
      <w:r w:rsidR="0013390A">
        <w:rPr>
          <w:sz w:val="20"/>
          <w:szCs w:val="20"/>
          <w:lang w:eastAsia="nl-BE"/>
        </w:rPr>
        <w:t xml:space="preserve">deze toeslag kan worden toegepast op e-commerce transacties. </w:t>
      </w:r>
      <w:r w:rsidRPr="0013390A">
        <w:rPr>
          <w:rFonts w:ascii="Times New Roman" w:hAnsi="Times New Roman" w:cs="Times New Roman"/>
          <w:sz w:val="20"/>
          <w:szCs w:val="20"/>
          <w:lang w:eastAsia="nl-BE"/>
        </w:rPr>
        <w:t xml:space="preserve"> </w:t>
      </w:r>
      <w:r w:rsidRPr="0013390A">
        <w:rPr>
          <w:rFonts w:ascii="Times New Roman" w:hAnsi="Times New Roman" w:cs="Times New Roman"/>
          <w:sz w:val="20"/>
          <w:szCs w:val="20"/>
          <w:lang w:eastAsia="nl-BE"/>
        </w:rPr>
        <w:br/>
      </w:r>
      <w:r w:rsidRPr="0013390A">
        <w:rPr>
          <w:sz w:val="20"/>
          <w:szCs w:val="20"/>
          <w:lang w:eastAsia="nl-BE"/>
        </w:rPr>
        <w:br/>
      </w:r>
    </w:p>
    <w:p w:rsidR="00941E29" w:rsidRPr="00941E29" w:rsidRDefault="00941E29" w:rsidP="00941E29">
      <w:pPr>
        <w:pStyle w:val="Lijstalinea"/>
        <w:numPr>
          <w:ilvl w:val="0"/>
          <w:numId w:val="4"/>
        </w:numPr>
        <w:rPr>
          <w:rFonts w:ascii="Arial" w:hAnsi="Arial" w:cs="Arial"/>
        </w:rPr>
      </w:pPr>
      <w:r w:rsidRPr="00941E29">
        <w:rPr>
          <w:rFonts w:ascii="Arial" w:hAnsi="Arial" w:cs="Arial"/>
        </w:rPr>
        <w:t xml:space="preserve">Bij een omzet met deze kaarten van meer dan </w:t>
      </w:r>
      <w:r w:rsidR="002635E1">
        <w:rPr>
          <w:rFonts w:ascii="Arial" w:hAnsi="Arial" w:cs="Arial"/>
        </w:rPr>
        <w:t xml:space="preserve">400.000 euro </w:t>
      </w:r>
      <w:proofErr w:type="spellStart"/>
      <w:r w:rsidR="002635E1">
        <w:rPr>
          <w:rFonts w:ascii="Arial" w:hAnsi="Arial" w:cs="Arial"/>
        </w:rPr>
        <w:t>e</w:t>
      </w:r>
      <w:r w:rsidRPr="00941E29">
        <w:rPr>
          <w:rFonts w:ascii="Arial" w:hAnsi="Arial" w:cs="Arial"/>
        </w:rPr>
        <w:t>uro</w:t>
      </w:r>
      <w:proofErr w:type="spellEnd"/>
      <w:r w:rsidRPr="00941E29">
        <w:rPr>
          <w:rFonts w:ascii="Arial" w:hAnsi="Arial" w:cs="Arial"/>
        </w:rPr>
        <w:t xml:space="preserve"> krijgt u een tarief op maat dat nóg scherper is. </w:t>
      </w:r>
    </w:p>
    <w:p w:rsidR="00941E29" w:rsidRDefault="00941E29" w:rsidP="00941E29">
      <w:pPr>
        <w:pStyle w:val="Lijstalinea"/>
        <w:rPr>
          <w:rFonts w:ascii="Arial" w:hAnsi="Arial" w:cs="Arial"/>
          <w:b/>
        </w:rPr>
      </w:pPr>
    </w:p>
    <w:p w:rsidR="00941E29" w:rsidRPr="00941E29" w:rsidRDefault="00941E29" w:rsidP="00941E29">
      <w:pPr>
        <w:pStyle w:val="Lijstalinea"/>
        <w:numPr>
          <w:ilvl w:val="0"/>
          <w:numId w:val="3"/>
        </w:numPr>
        <w:rPr>
          <w:rFonts w:ascii="Arial" w:hAnsi="Arial" w:cs="Arial"/>
        </w:rPr>
      </w:pPr>
      <w:r>
        <w:rPr>
          <w:rFonts w:ascii="Arial" w:hAnsi="Arial" w:cs="Arial"/>
        </w:rPr>
        <w:t xml:space="preserve">Ook voor de verwerking van </w:t>
      </w:r>
      <w:r w:rsidRPr="004F44A3">
        <w:rPr>
          <w:rFonts w:ascii="Arial" w:hAnsi="Arial" w:cs="Arial"/>
          <w:b/>
        </w:rPr>
        <w:t xml:space="preserve">nationale </w:t>
      </w:r>
      <w:proofErr w:type="spellStart"/>
      <w:r w:rsidRPr="004F44A3">
        <w:rPr>
          <w:rFonts w:ascii="Arial" w:hAnsi="Arial" w:cs="Arial"/>
          <w:b/>
        </w:rPr>
        <w:t>debetkaarten</w:t>
      </w:r>
      <w:proofErr w:type="spellEnd"/>
      <w:r>
        <w:rPr>
          <w:rFonts w:ascii="Arial" w:hAnsi="Arial" w:cs="Arial"/>
        </w:rPr>
        <w:t xml:space="preserve"> </w:t>
      </w:r>
      <w:r w:rsidR="004F44A3">
        <w:rPr>
          <w:rFonts w:ascii="Arial" w:hAnsi="Arial" w:cs="Arial"/>
        </w:rPr>
        <w:t>met de Maestro-functie, die op alle Bancontact-kaarten staat,</w:t>
      </w:r>
      <w:r>
        <w:rPr>
          <w:rFonts w:ascii="Arial" w:hAnsi="Arial" w:cs="Arial"/>
        </w:rPr>
        <w:t xml:space="preserve"> kan u bij Europabank t</w:t>
      </w:r>
      <w:r w:rsidR="004F44A3">
        <w:rPr>
          <w:rFonts w:ascii="Arial" w:hAnsi="Arial" w:cs="Arial"/>
        </w:rPr>
        <w:t xml:space="preserve">erecht voor een tarief op maat, </w:t>
      </w:r>
      <w:r>
        <w:rPr>
          <w:rFonts w:ascii="Arial" w:hAnsi="Arial" w:cs="Arial"/>
        </w:rPr>
        <w:t xml:space="preserve">afhankelijk van de verwerkte volumes. </w:t>
      </w:r>
    </w:p>
    <w:p w:rsidR="00941E29" w:rsidRPr="004F44A3" w:rsidRDefault="004F44A3" w:rsidP="00941E29">
      <w:pPr>
        <w:rPr>
          <w:rFonts w:ascii="Arial" w:hAnsi="Arial" w:cs="Arial"/>
        </w:rPr>
      </w:pPr>
      <w:r w:rsidRPr="004F44A3">
        <w:rPr>
          <w:rFonts w:ascii="Arial" w:hAnsi="Arial" w:cs="Arial"/>
        </w:rPr>
        <w:t>Geïnteresseerd? Neem vandaag nog contact op met Eur</w:t>
      </w:r>
      <w:r w:rsidR="004B4AAF">
        <w:rPr>
          <w:rFonts w:ascii="Arial" w:hAnsi="Arial" w:cs="Arial"/>
        </w:rPr>
        <w:t>opabank op 09/22</w:t>
      </w:r>
      <w:r w:rsidRPr="004F44A3">
        <w:rPr>
          <w:rFonts w:ascii="Arial" w:hAnsi="Arial" w:cs="Arial"/>
        </w:rPr>
        <w:t xml:space="preserve">4.74.07 of via </w:t>
      </w:r>
      <w:hyperlink r:id="rId5" w:history="1">
        <w:r w:rsidRPr="004F44A3">
          <w:rPr>
            <w:rStyle w:val="Hyperlink"/>
            <w:rFonts w:ascii="Arial" w:hAnsi="Arial" w:cs="Arial"/>
          </w:rPr>
          <w:t>sales@europabank.be</w:t>
        </w:r>
      </w:hyperlink>
      <w:r w:rsidRPr="004F44A3">
        <w:rPr>
          <w:rFonts w:ascii="Arial" w:hAnsi="Arial" w:cs="Arial"/>
        </w:rPr>
        <w:t xml:space="preserve"> en vermeld uw </w:t>
      </w:r>
      <w:r w:rsidR="002635E1">
        <w:rPr>
          <w:rFonts w:ascii="Arial" w:hAnsi="Arial" w:cs="Arial"/>
        </w:rPr>
        <w:t xml:space="preserve">Mode Unie </w:t>
      </w:r>
      <w:r w:rsidRPr="004F44A3">
        <w:rPr>
          <w:rFonts w:ascii="Arial" w:hAnsi="Arial" w:cs="Arial"/>
        </w:rPr>
        <w:t xml:space="preserve">lidmaatschap. </w:t>
      </w:r>
      <w:r w:rsidR="0013390A">
        <w:rPr>
          <w:rFonts w:ascii="Arial" w:hAnsi="Arial" w:cs="Arial"/>
        </w:rPr>
        <w:t>Wij helpen u graag</w:t>
      </w:r>
      <w:r w:rsidR="005B661B">
        <w:rPr>
          <w:rFonts w:ascii="Arial" w:hAnsi="Arial" w:cs="Arial"/>
        </w:rPr>
        <w:t xml:space="preserve"> vrijblijvend</w:t>
      </w:r>
      <w:r w:rsidR="0013390A">
        <w:rPr>
          <w:rFonts w:ascii="Arial" w:hAnsi="Arial" w:cs="Arial"/>
        </w:rPr>
        <w:t xml:space="preserve"> om uw huidige </w:t>
      </w:r>
      <w:r w:rsidR="0072203B">
        <w:rPr>
          <w:rFonts w:ascii="Arial" w:hAnsi="Arial" w:cs="Arial"/>
        </w:rPr>
        <w:t>transactiekosten</w:t>
      </w:r>
      <w:r w:rsidR="005B661B">
        <w:rPr>
          <w:rFonts w:ascii="Arial" w:hAnsi="Arial" w:cs="Arial"/>
        </w:rPr>
        <w:t xml:space="preserve"> te berekenen en te vergelijken </w:t>
      </w:r>
      <w:r w:rsidR="007C6AA0">
        <w:rPr>
          <w:rFonts w:ascii="Arial" w:hAnsi="Arial" w:cs="Arial"/>
        </w:rPr>
        <w:t>met het voorkeurstarief dat u kan genieten bij Europabank.</w:t>
      </w:r>
      <w:r w:rsidR="005B661B">
        <w:rPr>
          <w:rFonts w:ascii="Arial" w:hAnsi="Arial" w:cs="Arial"/>
        </w:rPr>
        <w:t xml:space="preserve"> De besparing loont zeker de moeite !</w:t>
      </w:r>
    </w:p>
    <w:p w:rsidR="00941E29" w:rsidRDefault="00941E29" w:rsidP="00941E29"/>
    <w:p w:rsidR="00941E29" w:rsidRDefault="00941E29" w:rsidP="00941E29"/>
    <w:p w:rsidR="00DB6F8D" w:rsidRDefault="00DB6F8D"/>
    <w:sectPr w:rsidR="00DB6F8D" w:rsidSect="00DB6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60C"/>
    <w:multiLevelType w:val="hybridMultilevel"/>
    <w:tmpl w:val="4EEACE62"/>
    <w:lvl w:ilvl="0" w:tplc="7F102322">
      <w:start w:val="250"/>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99167C"/>
    <w:multiLevelType w:val="hybridMultilevel"/>
    <w:tmpl w:val="D02EF5BE"/>
    <w:lvl w:ilvl="0" w:tplc="016E151A">
      <w:start w:val="5"/>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277594"/>
    <w:multiLevelType w:val="hybridMultilevel"/>
    <w:tmpl w:val="056C590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7E1622"/>
    <w:multiLevelType w:val="hybridMultilevel"/>
    <w:tmpl w:val="A9D4A194"/>
    <w:lvl w:ilvl="0" w:tplc="2138E5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43614E"/>
    <w:multiLevelType w:val="singleLevel"/>
    <w:tmpl w:val="C99CF0AE"/>
    <w:lvl w:ilvl="0">
      <w:start w:val="1"/>
      <w:numFmt w:val="upperLetter"/>
      <w:pStyle w:val="Kop1"/>
      <w:lvlText w:val="%1."/>
      <w:lvlJc w:val="left"/>
      <w:pPr>
        <w:tabs>
          <w:tab w:val="num" w:pos="720"/>
        </w:tabs>
        <w:ind w:left="720"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29"/>
    <w:rsid w:val="00025181"/>
    <w:rsid w:val="00040373"/>
    <w:rsid w:val="0013390A"/>
    <w:rsid w:val="002635E1"/>
    <w:rsid w:val="003C51E4"/>
    <w:rsid w:val="003E0692"/>
    <w:rsid w:val="004B4AAF"/>
    <w:rsid w:val="004F44A3"/>
    <w:rsid w:val="00533F64"/>
    <w:rsid w:val="005B661B"/>
    <w:rsid w:val="0072203B"/>
    <w:rsid w:val="007A4FDF"/>
    <w:rsid w:val="007A7478"/>
    <w:rsid w:val="007C6AA0"/>
    <w:rsid w:val="007E4818"/>
    <w:rsid w:val="008D084E"/>
    <w:rsid w:val="00941E29"/>
    <w:rsid w:val="009E4BC4"/>
    <w:rsid w:val="00AB5D30"/>
    <w:rsid w:val="00B058F3"/>
    <w:rsid w:val="00BB508B"/>
    <w:rsid w:val="00CC4945"/>
    <w:rsid w:val="00DB6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32F5"/>
  <w15:docId w15:val="{B85643DD-3AB9-47B8-8EC6-346C0CF7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1E29"/>
  </w:style>
  <w:style w:type="paragraph" w:styleId="Kop1">
    <w:name w:val="heading 1"/>
    <w:basedOn w:val="Standaard"/>
    <w:next w:val="Standaard"/>
    <w:link w:val="Kop1Char"/>
    <w:qFormat/>
    <w:rsid w:val="009E4BC4"/>
    <w:pPr>
      <w:keepNext/>
      <w:numPr>
        <w:numId w:val="1"/>
      </w:numPr>
      <w:spacing w:after="0" w:line="240" w:lineRule="auto"/>
      <w:outlineLvl w:val="0"/>
    </w:pPr>
    <w:rPr>
      <w:rFonts w:ascii="Verdana" w:eastAsia="Times New Roman" w:hAnsi="Verdana" w:cs="Times New Roman"/>
      <w:b/>
      <w:color w:val="FFFFFF" w:themeColor="background1"/>
      <w:sz w:val="24"/>
      <w:szCs w:val="20"/>
      <w:lang w:eastAsia="nl-BE"/>
    </w:rPr>
  </w:style>
  <w:style w:type="paragraph" w:styleId="Kop2">
    <w:name w:val="heading 2"/>
    <w:basedOn w:val="Standaard"/>
    <w:next w:val="Standaard"/>
    <w:link w:val="Kop2Char"/>
    <w:qFormat/>
    <w:rsid w:val="009E4BC4"/>
    <w:pPr>
      <w:keepNext/>
      <w:spacing w:after="0" w:line="240" w:lineRule="auto"/>
      <w:outlineLvl w:val="1"/>
    </w:pPr>
    <w:rPr>
      <w:rFonts w:ascii="Verdana" w:eastAsia="Times New Roman" w:hAnsi="Verdana" w:cs="Times New Roman"/>
      <w:b/>
      <w:color w:val="000099"/>
      <w:sz w:val="56"/>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4BC4"/>
    <w:rPr>
      <w:rFonts w:ascii="Verdana" w:eastAsia="Times New Roman" w:hAnsi="Verdana" w:cs="Times New Roman"/>
      <w:b/>
      <w:color w:val="FFFFFF" w:themeColor="background1"/>
      <w:sz w:val="24"/>
      <w:szCs w:val="20"/>
      <w:lang w:eastAsia="nl-BE"/>
    </w:rPr>
  </w:style>
  <w:style w:type="character" w:customStyle="1" w:styleId="Kop2Char">
    <w:name w:val="Kop 2 Char"/>
    <w:basedOn w:val="Standaardalinea-lettertype"/>
    <w:link w:val="Kop2"/>
    <w:rsid w:val="009E4BC4"/>
    <w:rPr>
      <w:rFonts w:ascii="Verdana" w:eastAsia="Times New Roman" w:hAnsi="Verdana" w:cs="Times New Roman"/>
      <w:b/>
      <w:color w:val="000099"/>
      <w:sz w:val="56"/>
      <w:szCs w:val="20"/>
      <w:lang w:val="nl-NL" w:eastAsia="nl-BE"/>
    </w:rPr>
  </w:style>
  <w:style w:type="paragraph" w:styleId="Lijstalinea">
    <w:name w:val="List Paragraph"/>
    <w:basedOn w:val="Standaard"/>
    <w:uiPriority w:val="34"/>
    <w:qFormat/>
    <w:rsid w:val="00941E29"/>
    <w:pPr>
      <w:ind w:left="720"/>
      <w:contextualSpacing/>
    </w:pPr>
  </w:style>
  <w:style w:type="character" w:styleId="Hyperlink">
    <w:name w:val="Hyperlink"/>
    <w:basedOn w:val="Standaardalinea-lettertype"/>
    <w:uiPriority w:val="99"/>
    <w:unhideWhenUsed/>
    <w:rsid w:val="00941E29"/>
    <w:rPr>
      <w:color w:val="0000FF" w:themeColor="hyperlink"/>
      <w:u w:val="single"/>
    </w:rPr>
  </w:style>
  <w:style w:type="table" w:styleId="Tabelraster">
    <w:name w:val="Table Grid"/>
    <w:basedOn w:val="Standaardtabel"/>
    <w:uiPriority w:val="59"/>
    <w:rsid w:val="0094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5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europabank.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Europabank</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 Van Nieuwenhove</dc:creator>
  <cp:lastModifiedBy>Isolde Delanghe</cp:lastModifiedBy>
  <cp:revision>2</cp:revision>
  <cp:lastPrinted>2018-05-09T07:45:00Z</cp:lastPrinted>
  <dcterms:created xsi:type="dcterms:W3CDTF">2018-06-06T12:09:00Z</dcterms:created>
  <dcterms:modified xsi:type="dcterms:W3CDTF">2018-06-06T12:09:00Z</dcterms:modified>
</cp:coreProperties>
</file>